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rFonts w:ascii="Geist" w:cs="Geist" w:eastAsia="Geist" w:hAnsi="Geist"/>
          <w:b/>
          <w:bCs/>
          <w:color w:val="002131"/>
          <w:sz w:val="52"/>
          <w:szCs w:val="52"/>
        </w:rPr>
        <w:t xml:space="preserve">DataHub ABM Program</w:t>
      </w:r>
    </w:p>
    <w:p>
      <w:pPr>
        <w:spacing w:after="60" w:before="0"/>
      </w:pPr>
      <w:r>
        <w:rPr>
          <w:rFonts w:ascii="Geist" w:cs="Geist" w:eastAsia="Geist" w:hAnsi="Geist"/>
          <w:color w:val="3CBBEB"/>
          <w:sz w:val="30"/>
          <w:szCs w:val="30"/>
        </w:rPr>
        <w:t xml:space="preserve">Phased Launch Plan for CMO Review</w:t>
      </w:r>
    </w:p>
    <w:p>
      <w:pPr>
        <w:spacing w:after="240" w:before="0"/>
      </w:pPr>
      <w:r>
        <w:rPr>
          <w:rFonts w:ascii="Geist" w:cs="Geist" w:eastAsia="Geist" w:hAnsi="Geist"/>
          <w:color w:val="3F3F3F"/>
          <w:sz w:val="22"/>
          <w:szCs w:val="22"/>
        </w:rPr>
        <w:t xml:space="preserve">Prepared by Marketing  |  April 2026</w:t>
      </w:r>
    </w:p>
    <w:p>
      <w:pPr>
        <w:pBdr>
          <w:bottom w:val="single" w:color="3CBBEB" w:sz="4" w:space="1"/>
        </w:pBdr>
        <w:spacing w:after="60" w:before="60"/>
      </w:pPr>
    </w:p>
    <w:p>
      <w:pPr>
        <w:spacing w:after="120" w:before="0"/>
      </w:pPr>
    </w:p>
    <w:p>
      <w:pPr>
        <w:pStyle w:val="Heading1"/>
      </w:pPr>
      <w:r>
        <w:rPr>
          <w:rFonts w:ascii="Castoro" w:cs="Castoro" w:eastAsia="Castoro" w:hAnsi="Castoro"/>
        </w:rPr>
        <w:t xml:space="preserve">Executive Summary</w:t>
      </w:r>
    </w:p>
    <w:p>
      <w:pPr>
        <w:spacing w:after="120" w:before="60"/>
      </w:pPr>
      <w:r>
        <w:rPr>
          <w:rFonts w:ascii="Geist" w:cs="Geist" w:eastAsia="Geist" w:hAnsi="Geist"/>
          <w:color w:val="3F3F3F"/>
          <w:sz w:val="22"/>
          <w:szCs w:val="22"/>
        </w:rPr>
        <w:t xml:space="preserve">This document outlines the phased rollout of our Account-Based Marketing (ABM) program. We are structuring the program in two distinct phases: a high-touch 1:1 launch targeting our top 10 priority accounts, followed by a broader segmented program built around buyer pain points. Our recommended approach for Phase 2 is retargeting-led expansion, with final confirmation pending a sales team brainstorm scheduled for next week.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B0EAFC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Program Vendor: Influ2</w:t>
            </w:r>
          </w:p>
          <w:p>
            <w:pPr>
              <w:spacing w:before="6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Influ2 enables person-level B2B advertising — serving ads to specific decision-makers within target accounts rather than companies as a whole. Contract investment: $6,000/month. This gives us the precision needed for true 1:1 ABM at the top of our account list, and the scalability to expand through segmented programs in Phase 2.</w:t>
            </w:r>
          </w:p>
        </w:tc>
      </w:tr>
    </w:tbl>
    <w:p>
      <w:pPr>
        <w:spacing w:after="160" w:before="0"/>
      </w:pPr>
    </w:p>
    <w:p>
      <w:pPr>
        <w:pBdr>
          <w:bottom w:val="single" w:color="3CBBEB" w:sz="4" w:space="1"/>
        </w:pBd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il"/>
              <w:left w:val="nil"/>
              <w:bottom w:val="nil"/>
              <w:right w:val="nil"/>
            </w:tcBorders>
            <w:shd w:fill="00213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Geist" w:cs="Geist" w:eastAsia="Geist" w:hAnsi="Geist"/>
                <w:b/>
                <w:bCs/>
                <w:color w:val="3CBBEB"/>
                <w:sz w:val="36"/>
                <w:szCs w:val="36"/>
              </w:rPr>
              <w:t xml:space="preserve">1</w:t>
            </w:r>
          </w:p>
          <w:p>
            <w:pPr>
              <w:jc w:val="center"/>
            </w:pPr>
            <w:r>
              <w:rPr>
                <w:rFonts w:ascii="Geist" w:cs="Geist" w:eastAsia="Geist" w:hAnsi="Geist"/>
                <w:color w:val="FFFFFF"/>
                <w:sz w:val="16"/>
                <w:szCs w:val="16"/>
              </w:rPr>
              <w:t xml:space="preserve">PHASE</w:t>
            </w:r>
          </w:p>
        </w:tc>
        <w:tc>
          <w:tcPr>
            <w:tcW w:type="dxa" w:w="7920"/>
            <w:tcBorders>
              <w:top w:val="nil"/>
              <w:left w:val="nil"/>
              <w:bottom w:val="nil"/>
              <w:right w:val="nil"/>
            </w:tcBorders>
            <w:shd w:fill="0A4170" w:val="clear"/>
            <w:tcMar>
              <w:top w:type="dxa" w:w="120"/>
              <w:left w:type="dxa" w:w="240"/>
              <w:bottom w:type="dxa" w:w="120"/>
              <w:right w:type="dxa" w:w="160"/>
            </w:tcMar>
            <w:vAlign w:val="center"/>
          </w:tcPr>
          <w:p>
            <w:r>
              <w:rPr>
                <w:rFonts w:ascii="Geist" w:cs="Geist" w:eastAsia="Geist" w:hAnsi="Geist"/>
                <w:b/>
                <w:bCs/>
                <w:color w:val="FFFFFF"/>
                <w:sz w:val="28"/>
                <w:szCs w:val="28"/>
              </w:rPr>
              <w:t xml:space="preserve">Top 10 Accounts — 1:1 Advertising</w:t>
            </w:r>
          </w:p>
          <w:p>
            <w:r>
              <w:rPr>
                <w:rFonts w:ascii="Geist" w:cs="Geist" w:eastAsia="Geist" w:hAnsi="Geist"/>
                <w:color w:val="FFFFFF"/>
                <w:sz w:val="20"/>
                <w:szCs w:val="20"/>
              </w:rPr>
              <w:t xml:space="preserve">High-touch, personalized campaigns for our highest-priority accounts</w:t>
            </w:r>
          </w:p>
        </w:tc>
      </w:tr>
    </w:tbl>
    <w:p>
      <w:pPr>
        <w:spacing w:after="120" w:before="0"/>
      </w:pPr>
    </w:p>
    <w:p>
      <w:pPr>
        <w:pStyle w:val="Heading2"/>
      </w:pPr>
      <w:r>
        <w:rPr>
          <w:rFonts w:ascii="Geist" w:cs="Geist" w:eastAsia="Geist" w:hAnsi="Geist"/>
        </w:rPr>
        <w:t xml:space="preserve">Approach</w:t>
      </w:r>
    </w:p>
    <w:p>
      <w:pPr>
        <w:spacing w:after="120" w:before="60"/>
      </w:pPr>
      <w:r>
        <w:rPr>
          <w:rFonts w:ascii="Geist" w:cs="Geist" w:eastAsia="Geist" w:hAnsi="Geist"/>
          <w:color w:val="3F3F3F"/>
          <w:sz w:val="22"/>
          <w:szCs w:val="22"/>
        </w:rPr>
        <w:t xml:space="preserve">Phase 1 focuses our full creative and strategic attention on the ten accounts with the greatest revenue potential. Each account receives a bespoke advertising experience, with messaging tailored to that company's known pain points, use cases, and key stakeholders.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Scope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10 named accounts, individually tailored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Ad Type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1:1 person-level advertising via Influ2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Creative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Static + video/animated ads (see Creative Capability below)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Targeting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Decision-makers within each account identified by role and seniority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Success Metric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Account engagement rate, pipeline influence, meeting conversion</w:t>
            </w:r>
          </w:p>
        </w:tc>
      </w:tr>
    </w:tbl>
    <w:p>
      <w:pPr>
        <w:spacing w:after="120" w:before="0"/>
      </w:pPr>
    </w:p>
    <w:p>
      <w:pPr>
        <w:pStyle w:val="Heading2"/>
      </w:pPr>
      <w:r>
        <w:rPr>
          <w:rFonts w:ascii="Geist" w:cs="Geist" w:eastAsia="Geist" w:hAnsi="Geist"/>
        </w:rPr>
        <w:t xml:space="preserve">Creative Capability at Scale</w:t>
      </w:r>
    </w:p>
    <w:p>
      <w:pPr>
        <w:spacing w:after="120" w:before="60"/>
      </w:pPr>
      <w:r>
        <w:rPr>
          <w:rFonts w:ascii="Geist" w:cs="Geist" w:eastAsia="Geist" w:hAnsi="Geist"/>
          <w:color w:val="3F3F3F"/>
          <w:sz w:val="22"/>
          <w:szCs w:val="22"/>
        </w:rPr>
        <w:t xml:space="preserve">A significant advantage for Phase 1 — and the full program — is our ability to produce video and animated ad formats at scale. Marco has built a system for generating these assets efficiently, enabling us to deliver high-impact creative across all ten accounts without proportional increases in production time or cost. This is a meaningful differentiator from static-only programs.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Why This Matters</w:t>
            </w:r>
          </w:p>
          <w:p>
            <w:pPr>
              <w:spacing w:before="6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Animated and video formats consistently outperform static ads in B2B account engagement. Having this capability in-house, systematized by Marco, means we can iterate creative quickly, test messaging variations, and maintain freshness across a multi-month program — without agency dependency or budget blowout.</w:t>
            </w:r>
          </w:p>
        </w:tc>
      </w:tr>
    </w:tbl>
    <w:p>
      <w:pPr>
        <w:spacing w:after="160" w:before="0"/>
      </w:pPr>
    </w:p>
    <w:p>
      <w:pPr>
        <w:pBdr>
          <w:bottom w:val="single" w:color="3CBBEB" w:sz="4" w:space="1"/>
        </w:pBd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il"/>
              <w:left w:val="nil"/>
              <w:bottom w:val="nil"/>
              <w:right w:val="nil"/>
            </w:tcBorders>
            <w:shd w:fill="00213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Geist" w:cs="Geist" w:eastAsia="Geist" w:hAnsi="Geist"/>
                <w:b/>
                <w:bCs/>
                <w:color w:val="3CBBEB"/>
                <w:sz w:val="36"/>
                <w:szCs w:val="36"/>
              </w:rPr>
              <w:t xml:space="preserve">2</w:t>
            </w:r>
          </w:p>
          <w:p>
            <w:pPr>
              <w:jc w:val="center"/>
            </w:pPr>
            <w:r>
              <w:rPr>
                <w:rFonts w:ascii="Geist" w:cs="Geist" w:eastAsia="Geist" w:hAnsi="Geist"/>
                <w:color w:val="FFFFFF"/>
                <w:sz w:val="16"/>
                <w:szCs w:val="16"/>
              </w:rPr>
              <w:t xml:space="preserve">PHASE</w:t>
            </w:r>
          </w:p>
        </w:tc>
        <w:tc>
          <w:tcPr>
            <w:tcW w:type="dxa" w:w="7920"/>
            <w:tcBorders>
              <w:top w:val="nil"/>
              <w:left w:val="nil"/>
              <w:bottom w:val="nil"/>
              <w:right w:val="nil"/>
            </w:tcBorders>
            <w:shd w:fill="0A4170" w:val="clear"/>
            <w:tcMar>
              <w:top w:type="dxa" w:w="120"/>
              <w:left w:type="dxa" w:w="240"/>
              <w:bottom w:type="dxa" w:w="120"/>
              <w:right w:type="dxa" w:w="160"/>
            </w:tcMar>
            <w:vAlign w:val="center"/>
          </w:tcPr>
          <w:p>
            <w:r>
              <w:rPr>
                <w:rFonts w:ascii="Geist" w:cs="Geist" w:eastAsia="Geist" w:hAnsi="Geist"/>
                <w:b/>
                <w:bCs/>
                <w:color w:val="FFFFFF"/>
                <w:sz w:val="28"/>
                <w:szCs w:val="28"/>
              </w:rPr>
              <w:t xml:space="preserve">Segmented Program — Pain Point-Based Targeting</w:t>
            </w:r>
          </w:p>
          <w:p>
            <w:r>
              <w:rPr>
                <w:rFonts w:ascii="Geist" w:cs="Geist" w:eastAsia="Geist" w:hAnsi="Geist"/>
                <w:color w:val="FFFFFF"/>
                <w:sz w:val="20"/>
                <w:szCs w:val="20"/>
              </w:rPr>
              <w:t xml:space="preserve">Expand reach with segments built around buyer pain points and behaviors</w:t>
            </w:r>
          </w:p>
        </w:tc>
      </w:tr>
    </w:tbl>
    <w:p>
      <w:pPr>
        <w:spacing w:after="120" w:before="0"/>
      </w:pPr>
    </w:p>
    <w:p>
      <w:pPr>
        <w:pStyle w:val="Heading2"/>
      </w:pPr>
      <w:r>
        <w:rPr>
          <w:rFonts w:ascii="Geist" w:cs="Geist" w:eastAsia="Geist" w:hAnsi="Geist"/>
        </w:rPr>
        <w:t xml:space="preserve">Approach</w:t>
      </w:r>
    </w:p>
    <w:p>
      <w:pPr>
        <w:spacing w:after="120" w:before="60"/>
      </w:pPr>
      <w:r>
        <w:rPr>
          <w:rFonts w:ascii="Geist" w:cs="Geist" w:eastAsia="Geist" w:hAnsi="Geist"/>
          <w:color w:val="3F3F3F"/>
          <w:sz w:val="22"/>
          <w:szCs w:val="22"/>
        </w:rPr>
        <w:t xml:space="preserve">Phase 2 expands the program beyond the top 10 to cover our broader strategic account universe. Rather than 1:1 tailoring for each account, we will build segments organized around common pain points — ensuring every prospect still receives messaging that feels relevant to their specific challenges, at greater scale.</w:t>
      </w:r>
    </w:p>
    <w:p>
      <w:pPr>
        <w:spacing w:after="80" w:before="0"/>
      </w:pPr>
    </w:p>
    <w:p>
      <w:pPr>
        <w:pStyle w:val="Heading2"/>
      </w:pPr>
      <w:r>
        <w:rPr>
          <w:rFonts w:ascii="Geist" w:cs="Geist" w:eastAsia="Geist" w:hAnsi="Geist"/>
        </w:rPr>
        <w:t xml:space="preserve">Phase 2 Channel Decision — Under Consideration</w:t>
      </w:r>
    </w:p>
    <w:p>
      <w:pPr>
        <w:spacing w:after="120" w:before="60"/>
      </w:pPr>
      <w:r>
        <w:rPr>
          <w:rFonts w:ascii="Geist" w:cs="Geist" w:eastAsia="Geist" w:hAnsi="Geist"/>
          <w:color w:val="3F3F3F"/>
          <w:sz w:val="22"/>
          <w:szCs w:val="22"/>
        </w:rPr>
        <w:t xml:space="preserve">We are evaluating two strategic directions for Phase 2. The current recommendation is retargeting, with a final decision to be confirmed following the sales brainstorm session next week.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shd w:fill="002131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b/>
                <w:bCs/>
                <w:color w:val="FFFFFF"/>
                <w:sz w:val="22"/>
                <w:szCs w:val="22"/>
              </w:rPr>
              <w:t xml:space="preserve">Option A: Retargeting  (Recommended)</w:t>
            </w:r>
          </w:p>
        </w:tc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shd w:fill="0A417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b/>
                <w:bCs/>
                <w:color w:val="FFFFFF"/>
                <w:sz w:val="22"/>
                <w:szCs w:val="22"/>
              </w:rPr>
              <w:t xml:space="preserve">Option B: Strategic Account Expansion</w:t>
            </w:r>
          </w:p>
        </w:tc>
      </w:tr>
      <w:tr>
        <w:tc>
          <w:tcPr>
            <w:tcW w:type="dxa" w:w="46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Serves ads to known visitors who have already engaged with DataHub web properties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Higher intent signal — these accounts have demonstrated active interest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More efficient spend: smaller eligible audience but greater conversion likelihood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Complements Phase 1 by re-engaging accounts that showed awareness but haven't converted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Faster to launch — audience pools built from existing traffic data</w:t>
            </w:r>
          </w:p>
        </w:tc>
        <w:tc>
          <w:tcPr>
            <w:tcW w:type="dxa" w:w="46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Serves ads to a broader list of strategic accounts that have not yet visited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Wider top-of-funnel reach across the full ICP universe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Requires more robust audience list curation and pain point segmentation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Higher volume but lower initial intent — longer time-to-pipeline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 w:before="4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More dependent on quality of account list and segment definitions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B0EAFC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Current Recommendation: Retargeting</w:t>
            </w:r>
          </w:p>
          <w:p>
            <w:pPr>
              <w:spacing w:before="60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Retargeting offers a higher-confidence starting point for Phase 2. It builds on existing demand signals, extends the Phase 1 momentum, and gives us a cleaner feedback loop on what messaging is resonating. We can layer in strategic account expansion in a Phase 2b once we have established creative and messaging benchmarks.</w:t>
            </w:r>
          </w:p>
        </w:tc>
      </w:tr>
    </w:tbl>
    <w:p>
      <w:pPr>
        <w:spacing w:after="160" w:before="0"/>
      </w:pPr>
    </w:p>
    <w:p>
      <w:pPr>
        <w:pBdr>
          <w:bottom w:val="single" w:color="3CBBEB" w:sz="4" w:space="1"/>
        </w:pBdr>
        <w:spacing w:after="60" w:before="60"/>
      </w:pPr>
    </w:p>
    <w:p>
      <w:pPr>
        <w:pStyle w:val="Heading1"/>
      </w:pPr>
      <w:r>
        <w:rPr>
          <w:rFonts w:ascii="Castoro" w:cs="Castoro" w:eastAsia="Castoro" w:hAnsi="Castoro"/>
        </w:rPr>
        <w:t xml:space="preserve">Open Items &amp; Next Steps</w:t>
      </w:r>
    </w:p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Sales Brainstorm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Session scheduled with sales team next week — focus: mapping the buyer journey and evaluating ad experience options. Journey-based advertising was a new concept surfaced in recent planning and will be explored with the full team.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Phase 2 Decision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Final recommendation on retargeting vs. strategic account expansion to be confirmed following brainstorm session.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Influ2 Contract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$6,000/month — confirm procurement timeline and onboarding schedule.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Phase 1 Account List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Finalize the top 10 accounts and begin stakeholder mapping for each.</w:t>
            </w:r>
          </w:p>
        </w:tc>
      </w:tr>
      <w:tr>
        <w:tc>
          <w:tcPr>
            <w:tcW w:type="dxa" w:w="234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Creative Production</w:t>
            </w:r>
          </w:p>
        </w:tc>
        <w:tc>
          <w:tcPr>
            <w:tcW w:type="dxa" w:w="702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Confirm Phase 1 ad brief with Marco; initiate video/animated asset pipeline.</w:t>
            </w:r>
          </w:p>
        </w:tc>
      </w:tr>
    </w:tbl>
    <w:p>
      <w:pPr>
        <w:spacing w:after="120" w:before="0"/>
      </w:pPr>
    </w:p>
    <w:p>
      <w:pPr>
        <w:pBdr>
          <w:bottom w:val="single" w:color="3CBBEB" w:sz="4" w:space="1"/>
        </w:pBdr>
        <w:spacing w:after="60" w:before="60"/>
      </w:pPr>
    </w:p>
    <w:p>
      <w:pPr>
        <w:pStyle w:val="Heading1"/>
      </w:pPr>
      <w:r>
        <w:rPr>
          <w:rFonts w:ascii="Castoro" w:cs="Castoro" w:eastAsia="Castoro" w:hAnsi="Castoro"/>
        </w:rPr>
        <w:t xml:space="preserve">Budget Overview</w:t>
      </w:r>
    </w:p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280"/>
        <w:gridCol w:w="3480"/>
      </w:tblGrid>
      <w:tr>
        <w:tc>
          <w:tcPr>
            <w:tcW w:type="dxa" w:w="3600"/>
            <w:tcBorders>
              <w:top w:val="nil"/>
              <w:left w:val="nil"/>
              <w:bottom w:val="nil"/>
              <w:right w:val="nil"/>
            </w:tcBorders>
            <w:shd w:fill="002131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b/>
                <w:bCs/>
                <w:color w:val="FFFFFF"/>
                <w:sz w:val="22"/>
                <w:szCs w:val="22"/>
              </w:rPr>
              <w:t xml:space="preserve">Item</w:t>
            </w:r>
          </w:p>
        </w:tc>
        <w:tc>
          <w:tcPr>
            <w:tcW w:type="dxa" w:w="2280"/>
            <w:tcBorders>
              <w:top w:val="nil"/>
              <w:left w:val="nil"/>
              <w:bottom w:val="nil"/>
              <w:right w:val="nil"/>
            </w:tcBorders>
            <w:shd w:fill="002131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Geist" w:cs="Geist" w:eastAsia="Geist" w:hAnsi="Geist"/>
                <w:b/>
                <w:bCs/>
                <w:color w:val="FFFFFF"/>
                <w:sz w:val="22"/>
                <w:szCs w:val="22"/>
              </w:rPr>
              <w:t xml:space="preserve">Monthly Cost</w:t>
            </w:r>
          </w:p>
        </w:tc>
        <w:tc>
          <w:tcPr>
            <w:tcW w:type="dxa" w:w="3480"/>
            <w:tcBorders>
              <w:top w:val="nil"/>
              <w:left w:val="nil"/>
              <w:bottom w:val="nil"/>
              <w:right w:val="nil"/>
            </w:tcBorders>
            <w:shd w:fill="002131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b/>
                <w:bCs/>
                <w:color w:val="FFFFFF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360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Influ2 Platform</w:t>
            </w:r>
          </w:p>
        </w:tc>
        <w:tc>
          <w:tcPr>
            <w:tcW w:type="dxa" w:w="22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Geist" w:cs="Geist" w:eastAsia="Geist" w:hAnsi="Geist"/>
                <w:b/>
                <w:bCs/>
                <w:color w:val="002131"/>
                <w:sz w:val="22"/>
                <w:szCs w:val="22"/>
              </w:rPr>
              <w:t xml:space="preserve">$6,000</w:t>
            </w:r>
          </w:p>
        </w:tc>
        <w:tc>
          <w:tcPr>
            <w:tcW w:type="dxa" w:w="34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Person-level ad platform — Phases 1 &amp; 2</w:t>
            </w:r>
          </w:p>
        </w:tc>
      </w:tr>
      <w:tr>
        <w:tc>
          <w:tcPr>
            <w:tcW w:type="dxa" w:w="360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Ad Spend (Phase 1)</w:t>
            </w:r>
          </w:p>
        </w:tc>
        <w:tc>
          <w:tcPr>
            <w:tcW w:type="dxa" w:w="22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TBD</w:t>
            </w:r>
          </w:p>
        </w:tc>
        <w:tc>
          <w:tcPr>
            <w:tcW w:type="dxa" w:w="34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shd w:fill="F2F1E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To be finalized after account list is confirmed</w:t>
            </w:r>
          </w:p>
        </w:tc>
      </w:tr>
      <w:tr>
        <w:tc>
          <w:tcPr>
            <w:tcW w:type="dxa" w:w="360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Creative Production</w:t>
            </w:r>
          </w:p>
        </w:tc>
        <w:tc>
          <w:tcPr>
            <w:tcW w:type="dxa" w:w="22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In-house</w:t>
            </w:r>
          </w:p>
        </w:tc>
        <w:tc>
          <w:tcPr>
            <w:tcW w:type="dxa" w:w="3480"/>
            <w:tcBorders>
              <w:top w:val="single" w:color="B2AEA7" w:sz="1"/>
              <w:left w:val="single" w:color="B2AEA7" w:sz="1"/>
              <w:bottom w:val="single" w:color="B2AEA7" w:sz="1"/>
              <w:right w:val="single" w:color="B2AEA7" w:sz="1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Geist" w:cs="Geist" w:eastAsia="Geist" w:hAnsi="Geist"/>
                <w:color w:val="3F3F3F"/>
                <w:sz w:val="22"/>
                <w:szCs w:val="22"/>
              </w:rPr>
              <w:t xml:space="preserve">Marco&amp;#x2019;s video/animation system — no incremental agency cost</w:t>
            </w:r>
          </w:p>
        </w:tc>
      </w:tr>
    </w:tbl>
    <w:p>
      <w:pPr>
        <w:spacing w:after="200" w:before="0"/>
      </w:pPr>
    </w:p>
    <w:p>
      <w:pPr>
        <w:pBdr>
          <w:bottom w:val="single" w:color="3CBBEB" w:sz="4" w:space="1"/>
        </w:pBdr>
        <w:spacing w:after="60" w:before="60"/>
      </w:pPr>
    </w:p>
    <w:p>
      <w:pPr>
        <w:spacing w:after="80" w:before="0"/>
      </w:pPr>
    </w:p>
    <w:p>
      <w:pPr>
        <w:spacing w:after="40" w:before="40"/>
        <w:jc w:val="center"/>
      </w:pPr>
      <w:r>
        <w:rPr>
          <w:rFonts w:ascii="Geist" w:cs="Geist" w:eastAsia="Geist" w:hAnsi="Geist"/>
          <w:i/>
          <w:iCs/>
          <w:color w:val="3F3F3F"/>
          <w:sz w:val="20"/>
          <w:szCs w:val="20"/>
        </w:rPr>
        <w:t xml:space="preserve">Questions or feedback? Reach out before the sales brainstorm session to align on Phase 2 direction.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CBBEB" w:sz="4" w:space="4"/>
      </w:pBdr>
      <w:tabs>
        <w:tab w:val="right" w:pos="9026"/>
      </w:tabs>
    </w:pPr>
    <w:r>
      <w:rPr>
        <w:rFonts w:ascii="Geist" w:cs="Geist" w:eastAsia="Geist" w:hAnsi="Geist"/>
        <w:color w:val="3F3F3F"/>
        <w:sz w:val="18"/>
        <w:szCs w:val="18"/>
      </w:rPr>
      <w:t xml:space="preserve">Acryl Data — Marketing</w:t>
    </w:r>
    <w:r>
      <w:rPr>
        <w:rFonts w:ascii="Geist" w:cs="Geist" w:eastAsia="Geist" w:hAnsi="Geist"/>
        <w:color w:val="3F3F3F"/>
        <w:sz w:val="18"/>
        <w:szCs w:val="18"/>
      </w:rPr>
      <w:t xml:space="preserve">	Page </w:t>
    </w:r>
    <w:r>
      <w:rPr>
        <w:rFonts w:ascii="Geist" w:cs="Geist" w:eastAsia="Geist" w:hAnsi="Geist"/>
        <w:color w:val="3F3F3F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CBBEB" w:sz="4" w:space="4"/>
      </w:pBdr>
      <w:tabs>
        <w:tab w:val="right" w:pos="9026"/>
      </w:tabs>
    </w:pPr>
    <w:r>
      <w:rPr>
        <w:rFonts w:ascii="Geist" w:cs="Geist" w:eastAsia="Geist" w:hAnsi="Geist"/>
        <w:color w:val="3F3F3F"/>
        <w:sz w:val="18"/>
        <w:szCs w:val="18"/>
      </w:rPr>
      <w:t xml:space="preserve">DataHub ABM Program — Phased Launch Plan</w:t>
    </w:r>
    <w:r>
      <w:rPr>
        <w:rFonts w:ascii="Geist" w:cs="Geist" w:eastAsia="Geist" w:hAnsi="Geist"/>
        <w:b/>
        <w:bCs/>
        <w:color w:val="3CBBEB"/>
        <w:sz w:val="18"/>
        <w:szCs w:val="18"/>
      </w:rPr>
      <w:t xml:space="preserve">	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  <w:rPr>
        <w:rFonts w:ascii="Geist" w:cs="Geist" w:eastAsia="Geist" w:hAnsi="Geist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  <w:rPr>
        <w:rFonts w:ascii="Geist" w:cs="Geist" w:eastAsia="Geist" w:hAnsi="Geist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  <w:rPr>
        <w:rFonts w:ascii="Geist" w:cs="Geist" w:eastAsia="Geist" w:hAnsi="Geis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ist" w:cs="Geist" w:eastAsia="Geist" w:hAnsi="Geis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Castoro" w:cs="Castoro" w:eastAsia="Castoro" w:hAnsi="Castoro"/>
      <w:b/>
      <w:bCs/>
      <w:color w:val="00213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Geist" w:cs="Geist" w:eastAsia="Geist" w:hAnsi="Geist"/>
      <w:b/>
      <w:bCs/>
      <w:color w:val="006DC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2026-04-30T18:29:12.787Z</dcterms:created>
  <dcterms:modified xsi:type="dcterms:W3CDTF">2026-04-30T18:29:12.787Z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